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C85C2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C85C2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C85C25">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317571"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C1D35">
        <w:rPr>
          <w:rFonts w:ascii="Times New Roman" w:eastAsia="Times New Roman" w:hAnsi="Times New Roman" w:cs="Times New Roman"/>
          <w:sz w:val="24"/>
          <w:szCs w:val="24"/>
        </w:rPr>
        <w:t>.10</w:t>
      </w:r>
      <w:r w:rsidR="0015761A">
        <w:rPr>
          <w:rFonts w:ascii="Times New Roman" w:eastAsia="Times New Roman" w:hAnsi="Times New Roman" w:cs="Times New Roman"/>
          <w:sz w:val="24"/>
          <w:szCs w:val="24"/>
        </w:rPr>
        <w:t>.2017</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317571">
        <w:rPr>
          <w:rFonts w:ascii="Times New Roman" w:eastAsia="Times New Roman" w:hAnsi="Times New Roman" w:cs="Times New Roman"/>
          <w:sz w:val="24"/>
          <w:szCs w:val="24"/>
        </w:rPr>
        <w:t>18</w:t>
      </w:r>
      <w:r w:rsidR="00D11705" w:rsidRPr="00423A12">
        <w:rPr>
          <w:rFonts w:ascii="Times New Roman" w:eastAsia="Times New Roman" w:hAnsi="Times New Roman" w:cs="Times New Roman"/>
          <w:sz w:val="24"/>
          <w:szCs w:val="24"/>
        </w:rPr>
        <w:t xml:space="preserve">, </w:t>
      </w:r>
      <w:r w:rsidR="00317571">
        <w:rPr>
          <w:rFonts w:ascii="Times New Roman" w:eastAsia="Times New Roman" w:hAnsi="Times New Roman" w:cs="Times New Roman"/>
          <w:sz w:val="24"/>
          <w:szCs w:val="24"/>
        </w:rPr>
        <w:t>13</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0C5982"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w:t>
      </w:r>
      <w:r w:rsidR="009C1D35">
        <w:rPr>
          <w:rFonts w:ascii="Times New Roman" w:eastAsia="Times New Roman" w:hAnsi="Times New Roman" w:cs="Times New Roman"/>
          <w:b/>
          <w:bCs/>
          <w:caps/>
          <w:sz w:val="28"/>
          <w:szCs w:val="28"/>
        </w:rPr>
        <w:t>TĪRLAUKU PĻAVAS</w:t>
      </w:r>
      <w:r>
        <w:rPr>
          <w:rFonts w:ascii="Times New Roman" w:eastAsia="Times New Roman" w:hAnsi="Times New Roman" w:cs="Times New Roman"/>
          <w:b/>
          <w:bCs/>
          <w:caps/>
          <w:sz w:val="28"/>
          <w:szCs w:val="28"/>
        </w:rPr>
        <w:t>” LIMBAŽU</w:t>
      </w:r>
      <w:r w:rsidR="00D44D90">
        <w:rPr>
          <w:rFonts w:ascii="Times New Roman" w:eastAsia="Times New Roman" w:hAnsi="Times New Roman" w:cs="Times New Roman"/>
          <w:b/>
          <w:bCs/>
          <w:caps/>
          <w:sz w:val="28"/>
          <w:szCs w:val="28"/>
        </w:rPr>
        <w:t xml:space="preserve"> PAGASTS</w:t>
      </w:r>
      <w:r w:rsidR="00F4014A" w:rsidRPr="00EB4B5A">
        <w:rPr>
          <w:rFonts w:ascii="Times New Roman" w:eastAsia="Times New Roman" w:hAnsi="Times New Roman" w:cs="Times New Roman"/>
          <w:b/>
          <w:bCs/>
          <w:caps/>
          <w:sz w:val="28"/>
          <w:szCs w:val="28"/>
        </w:rPr>
        <w:t xml:space="preserve">, limbažu novadā,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C1D35">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9C1D35" w:rsidRPr="009C1D35">
        <w:rPr>
          <w:rFonts w:ascii="Times New Roman" w:eastAsia="Calibri" w:hAnsi="Times New Roman" w:cs="Times New Roman"/>
          <w:sz w:val="24"/>
        </w:rPr>
        <w:t>“</w:t>
      </w:r>
      <w:proofErr w:type="spellStart"/>
      <w:r w:rsidR="009C1D35" w:rsidRPr="009C1D35">
        <w:rPr>
          <w:rFonts w:ascii="Times New Roman" w:eastAsia="Calibri" w:hAnsi="Times New Roman" w:cs="Times New Roman"/>
          <w:sz w:val="24"/>
        </w:rPr>
        <w:t>Tīrlauku</w:t>
      </w:r>
      <w:proofErr w:type="spellEnd"/>
      <w:r w:rsidR="009C1D35" w:rsidRPr="009C1D35">
        <w:rPr>
          <w:rFonts w:ascii="Times New Roman" w:eastAsia="Calibri" w:hAnsi="Times New Roman" w:cs="Times New Roman"/>
          <w:sz w:val="24"/>
        </w:rPr>
        <w:t xml:space="preserve"> pļavas”, Limbažu pagasts, Limbažu novadā ar kadastra numuru 66640090105, kas sastāv no 3 (trīs) zemes vienībām, kur viena zemes vienība (apzīmējums</w:t>
      </w:r>
      <w:r w:rsidR="00E75316">
        <w:rPr>
          <w:rFonts w:ascii="Times New Roman" w:eastAsia="Calibri" w:hAnsi="Times New Roman" w:cs="Times New Roman"/>
          <w:sz w:val="24"/>
        </w:rPr>
        <w:t xml:space="preserve"> kadastrā 66640090131) ir 5500m</w:t>
      </w:r>
      <w:r w:rsidR="00E75316">
        <w:rPr>
          <w:rFonts w:ascii="Times New Roman" w:eastAsia="Calibri" w:hAnsi="Times New Roman" w:cs="Times New Roman"/>
          <w:sz w:val="24"/>
          <w:vertAlign w:val="superscript"/>
        </w:rPr>
        <w:t>2</w:t>
      </w:r>
      <w:r w:rsidR="009C1D35" w:rsidRPr="009C1D35">
        <w:rPr>
          <w:rFonts w:ascii="Times New Roman" w:eastAsia="Calibri" w:hAnsi="Times New Roman" w:cs="Times New Roman"/>
          <w:sz w:val="24"/>
        </w:rPr>
        <w:t xml:space="preserve"> platībā, otra zemes vienība (apzīmē</w:t>
      </w:r>
      <w:r w:rsidR="002D783A">
        <w:rPr>
          <w:rFonts w:ascii="Times New Roman" w:eastAsia="Calibri" w:hAnsi="Times New Roman" w:cs="Times New Roman"/>
          <w:sz w:val="24"/>
        </w:rPr>
        <w:t>jums kadastrā 66640090141) ir 1.</w:t>
      </w:r>
      <w:r w:rsidR="009C1D35" w:rsidRPr="009C1D35">
        <w:rPr>
          <w:rFonts w:ascii="Times New Roman" w:eastAsia="Calibri" w:hAnsi="Times New Roman" w:cs="Times New Roman"/>
          <w:sz w:val="24"/>
        </w:rPr>
        <w:t>34 ha platībā un trešā zemes vienība (apzīmē</w:t>
      </w:r>
      <w:r w:rsidR="002D783A">
        <w:rPr>
          <w:rFonts w:ascii="Times New Roman" w:eastAsia="Calibri" w:hAnsi="Times New Roman" w:cs="Times New Roman"/>
          <w:sz w:val="24"/>
        </w:rPr>
        <w:t>jums kadastrā 66640090145) ir 2.</w:t>
      </w:r>
      <w:r w:rsidR="009C1D35" w:rsidRPr="009C1D35">
        <w:rPr>
          <w:rFonts w:ascii="Times New Roman" w:eastAsia="Calibri" w:hAnsi="Times New Roman" w:cs="Times New Roman"/>
          <w:sz w:val="24"/>
        </w:rPr>
        <w:t>03 ha platībā</w:t>
      </w:r>
      <w:r w:rsidR="009C1D35">
        <w:rPr>
          <w:rFonts w:ascii="Times New Roman" w:eastAsia="Times New Roman" w:hAnsi="Times New Roman" w:cs="Times New Roman"/>
          <w:bCs/>
          <w:sz w:val="24"/>
          <w:szCs w:val="24"/>
        </w:rPr>
        <w:t xml:space="preserve">, </w:t>
      </w:r>
      <w:r w:rsidR="009C1D35" w:rsidRPr="009C1D35">
        <w:rPr>
          <w:rFonts w:ascii="Times New Roman" w:eastAsia="Times New Roman" w:hAnsi="Times New Roman" w:cs="Times New Roman"/>
          <w:bCs/>
          <w:sz w:val="24"/>
          <w:szCs w:val="24"/>
        </w:rPr>
        <w:t>kuriem ir nomnieks ar pirmpirkuma tiesībām</w:t>
      </w:r>
      <w:r w:rsidR="009C1D35">
        <w:rPr>
          <w:rFonts w:ascii="Times New Roman" w:eastAsia="Times New Roman" w:hAnsi="Times New Roman" w:cs="Times New Roman"/>
          <w:bCs/>
          <w:sz w:val="24"/>
          <w:szCs w:val="24"/>
        </w:rPr>
        <w:t>.</w:t>
      </w:r>
    </w:p>
    <w:p w:rsidR="00F4014A" w:rsidRPr="00675A88" w:rsidRDefault="0075755A" w:rsidP="00E21F85">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 xml:space="preserve">Īpašumtiesības Limbažu novada pašvaldībai nostiprinātas </w:t>
      </w:r>
      <w:r w:rsidR="00E21F85">
        <w:rPr>
          <w:rFonts w:ascii="Times New Roman" w:eastAsia="Times New Roman" w:hAnsi="Times New Roman" w:cs="Times New Roman"/>
          <w:sz w:val="24"/>
          <w:szCs w:val="24"/>
        </w:rPr>
        <w:t>Limbažu</w:t>
      </w:r>
      <w:r w:rsidR="00D44D90">
        <w:rPr>
          <w:rFonts w:ascii="Times New Roman" w:eastAsia="Times New Roman" w:hAnsi="Times New Roman" w:cs="Times New Roman"/>
          <w:sz w:val="24"/>
          <w:szCs w:val="24"/>
        </w:rPr>
        <w:t xml:space="preserve"> 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E21F85">
        <w:rPr>
          <w:rFonts w:ascii="Times New Roman" w:eastAsia="Times New Roman" w:hAnsi="Times New Roman" w:cs="Times New Roman"/>
          <w:sz w:val="24"/>
          <w:szCs w:val="24"/>
        </w:rPr>
        <w:t>1000</w:t>
      </w:r>
      <w:r w:rsidR="00E21F85" w:rsidRPr="00E21F85">
        <w:rPr>
          <w:rFonts w:ascii="Times New Roman" w:eastAsia="Times New Roman" w:hAnsi="Times New Roman" w:cs="Times New Roman"/>
          <w:sz w:val="24"/>
          <w:szCs w:val="24"/>
        </w:rPr>
        <w:t>0</w:t>
      </w:r>
      <w:r w:rsidR="00E21F85">
        <w:rPr>
          <w:rFonts w:ascii="Times New Roman" w:eastAsia="Times New Roman" w:hAnsi="Times New Roman" w:cs="Times New Roman"/>
          <w:sz w:val="24"/>
          <w:szCs w:val="24"/>
        </w:rPr>
        <w:t>05</w:t>
      </w:r>
      <w:r w:rsidR="009C1D35">
        <w:rPr>
          <w:rFonts w:ascii="Times New Roman" w:eastAsia="Times New Roman" w:hAnsi="Times New Roman" w:cs="Times New Roman"/>
          <w:sz w:val="24"/>
          <w:szCs w:val="24"/>
        </w:rPr>
        <w:t>65078</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675A88" w:rsidRPr="00675A88" w:rsidRDefault="00675A88" w:rsidP="009C1D35">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sz w:val="24"/>
          <w:szCs w:val="24"/>
        </w:rPr>
        <w:t xml:space="preserve">  IZSOLES OBJEKTS</w:t>
      </w:r>
      <w:r w:rsidRPr="00675A88">
        <w:rPr>
          <w:rFonts w:ascii="Times New Roman" w:eastAsia="Times New Roman" w:hAnsi="Times New Roman" w:cs="Times New Roman"/>
          <w:bCs/>
          <w:sz w:val="24"/>
          <w:szCs w:val="24"/>
        </w:rPr>
        <w:t xml:space="preserve"> izvietots </w:t>
      </w:r>
      <w:r w:rsidR="00E21F85" w:rsidRPr="00E21F85">
        <w:rPr>
          <w:rFonts w:ascii="Times New Roman" w:eastAsia="Times New Roman" w:hAnsi="Times New Roman" w:cs="Times New Roman"/>
          <w:bCs/>
          <w:sz w:val="24"/>
          <w:szCs w:val="24"/>
        </w:rPr>
        <w:t xml:space="preserve">Limbažu pagastā, ~ </w:t>
      </w:r>
      <w:r w:rsidR="009C1D35">
        <w:rPr>
          <w:rFonts w:ascii="Times New Roman" w:eastAsia="Times New Roman" w:hAnsi="Times New Roman" w:cs="Times New Roman"/>
          <w:bCs/>
          <w:sz w:val="24"/>
          <w:szCs w:val="24"/>
        </w:rPr>
        <w:t>2.</w:t>
      </w:r>
      <w:r w:rsidR="00E21F85" w:rsidRPr="00E21F85">
        <w:rPr>
          <w:rFonts w:ascii="Times New Roman" w:eastAsia="Times New Roman" w:hAnsi="Times New Roman" w:cs="Times New Roman"/>
          <w:bCs/>
          <w:sz w:val="24"/>
          <w:szCs w:val="24"/>
        </w:rPr>
        <w:t>0 k</w:t>
      </w:r>
      <w:r w:rsidR="009C1D35">
        <w:rPr>
          <w:rFonts w:ascii="Times New Roman" w:eastAsia="Times New Roman" w:hAnsi="Times New Roman" w:cs="Times New Roman"/>
          <w:bCs/>
          <w:sz w:val="24"/>
          <w:szCs w:val="24"/>
        </w:rPr>
        <w:t>m no apdzīvotas vietas Lādezers</w:t>
      </w:r>
      <w:r w:rsidR="00E21F85" w:rsidRPr="00E21F85">
        <w:rPr>
          <w:rFonts w:ascii="Times New Roman" w:eastAsia="Times New Roman" w:hAnsi="Times New Roman" w:cs="Times New Roman"/>
          <w:bCs/>
          <w:sz w:val="24"/>
          <w:szCs w:val="24"/>
        </w:rPr>
        <w:t xml:space="preserve"> </w:t>
      </w:r>
      <w:r w:rsidR="009C1D35">
        <w:rPr>
          <w:rFonts w:ascii="Times New Roman" w:eastAsia="Times New Roman" w:hAnsi="Times New Roman" w:cs="Times New Roman"/>
          <w:bCs/>
          <w:sz w:val="24"/>
          <w:szCs w:val="24"/>
        </w:rPr>
        <w:t xml:space="preserve"> un ~ 3.</w:t>
      </w:r>
      <w:r w:rsidR="009C1D35" w:rsidRPr="009C1D35">
        <w:rPr>
          <w:rFonts w:ascii="Times New Roman" w:eastAsia="Times New Roman" w:hAnsi="Times New Roman" w:cs="Times New Roman"/>
          <w:bCs/>
          <w:sz w:val="24"/>
          <w:szCs w:val="24"/>
        </w:rPr>
        <w:t>0 km</w:t>
      </w:r>
      <w:r w:rsidR="009C1D35">
        <w:rPr>
          <w:rFonts w:ascii="Times New Roman" w:eastAsia="Times New Roman" w:hAnsi="Times New Roman" w:cs="Times New Roman"/>
          <w:bCs/>
          <w:sz w:val="24"/>
          <w:szCs w:val="24"/>
        </w:rPr>
        <w:t xml:space="preserve"> no valsts autoceļa Ragana – Limbaži. Zemes vienības izvietotas netālu viena no otras, laba piebraukšana (divas zemes vienības atrodas valsts autoceļa malā, viena pašvaldības autoceļa malā). Piebraucamie ceļi grants seguma. Tuvākajā apkārtnē ferma, lauksaimniecības zemes. </w:t>
      </w:r>
    </w:p>
    <w:p w:rsidR="00675A88" w:rsidRPr="009C1D35" w:rsidRDefault="00675A88" w:rsidP="009C1D35">
      <w:pPr>
        <w:pStyle w:val="Sarakstarindkopa"/>
        <w:numPr>
          <w:ilvl w:val="1"/>
          <w:numId w:val="4"/>
        </w:numPr>
        <w:tabs>
          <w:tab w:val="num" w:pos="360"/>
        </w:tabs>
        <w:rPr>
          <w:rFonts w:ascii="Times New Roman" w:eastAsia="Times New Roman" w:hAnsi="Times New Roman" w:cs="Times New Roman"/>
          <w:bCs/>
          <w:sz w:val="24"/>
          <w:szCs w:val="24"/>
        </w:rPr>
      </w:pPr>
      <w:r w:rsidRPr="00675A88">
        <w:rPr>
          <w:rFonts w:ascii="Times New Roman" w:eastAsia="Times New Roman" w:hAnsi="Times New Roman" w:cs="Times New Roman"/>
          <w:bCs/>
          <w:sz w:val="24"/>
          <w:szCs w:val="24"/>
        </w:rPr>
        <w:t xml:space="preserve">   </w:t>
      </w:r>
      <w:r w:rsidR="009C1D35">
        <w:rPr>
          <w:rFonts w:ascii="Times New Roman" w:eastAsia="Times New Roman" w:hAnsi="Times New Roman" w:cs="Times New Roman"/>
          <w:sz w:val="24"/>
          <w:szCs w:val="24"/>
        </w:rPr>
        <w:t>Zemes vienības ar kadastra apzīmējumu Nr.66640090131</w:t>
      </w:r>
      <w:r w:rsidRPr="00675A88">
        <w:rPr>
          <w:rFonts w:ascii="Times New Roman" w:eastAsia="Times New Roman" w:hAnsi="Times New Roman" w:cs="Times New Roman"/>
          <w:sz w:val="24"/>
          <w:szCs w:val="24"/>
        </w:rPr>
        <w:t xml:space="preserve"> noteikti lietošanas tiesību apgrūtinājumi:</w:t>
      </w:r>
    </w:p>
    <w:p w:rsidR="00E21F85" w:rsidRDefault="00E21F85" w:rsidP="00E21F85">
      <w:pPr>
        <w:pStyle w:val="Sarakstarindkopa"/>
        <w:numPr>
          <w:ilvl w:val="0"/>
          <w:numId w:val="11"/>
        </w:numPr>
        <w:tabs>
          <w:tab w:val="num" w:pos="432"/>
        </w:tabs>
        <w:rPr>
          <w:rFonts w:ascii="Times New Roman" w:eastAsia="Times New Roman" w:hAnsi="Times New Roman" w:cs="Times New Roman"/>
          <w:bCs/>
          <w:sz w:val="24"/>
          <w:szCs w:val="24"/>
        </w:rPr>
      </w:pPr>
      <w:r w:rsidRPr="00E21F85">
        <w:rPr>
          <w:rFonts w:ascii="Times New Roman" w:eastAsia="Times New Roman" w:hAnsi="Times New Roman" w:cs="Times New Roman"/>
          <w:bCs/>
          <w:sz w:val="24"/>
          <w:szCs w:val="24"/>
        </w:rPr>
        <w:t xml:space="preserve">biosfēras rezervāta ainavu aizsardzības zonas teritorija – </w:t>
      </w:r>
      <w:r w:rsidR="002D783A">
        <w:rPr>
          <w:rFonts w:ascii="Times New Roman" w:eastAsia="Times New Roman" w:hAnsi="Times New Roman" w:cs="Times New Roman"/>
          <w:bCs/>
          <w:sz w:val="24"/>
          <w:szCs w:val="24"/>
        </w:rPr>
        <w:t>0.</w:t>
      </w:r>
      <w:r w:rsidR="00FA0056">
        <w:rPr>
          <w:rFonts w:ascii="Times New Roman" w:eastAsia="Times New Roman" w:hAnsi="Times New Roman" w:cs="Times New Roman"/>
          <w:bCs/>
          <w:sz w:val="24"/>
          <w:szCs w:val="24"/>
        </w:rPr>
        <w:t>55</w:t>
      </w:r>
      <w:r w:rsidRPr="00E21F85">
        <w:rPr>
          <w:rFonts w:ascii="Times New Roman" w:eastAsia="Times New Roman" w:hAnsi="Times New Roman" w:cs="Times New Roman"/>
          <w:bCs/>
          <w:sz w:val="24"/>
          <w:szCs w:val="24"/>
        </w:rPr>
        <w:t xml:space="preserve"> ha</w:t>
      </w:r>
    </w:p>
    <w:p w:rsidR="00FA0056" w:rsidRDefault="00FA0056" w:rsidP="00E21F85">
      <w:pPr>
        <w:pStyle w:val="Sarakstarindkopa"/>
        <w:numPr>
          <w:ilvl w:val="0"/>
          <w:numId w:val="11"/>
        </w:numPr>
        <w:tabs>
          <w:tab w:val="num" w:pos="432"/>
        </w:tab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vides un dabas resursu aizsardzības aizsargjoslas (aizsardzības zonas) teritorija ap kultūras pieminekli laukos –</w:t>
      </w:r>
      <w:r w:rsidR="002D783A">
        <w:rPr>
          <w:rFonts w:ascii="Times New Roman" w:eastAsia="Times New Roman" w:hAnsi="Times New Roman" w:cs="Times New Roman"/>
          <w:bCs/>
          <w:sz w:val="24"/>
          <w:szCs w:val="24"/>
        </w:rPr>
        <w:t xml:space="preserve"> 0.</w:t>
      </w:r>
      <w:r>
        <w:rPr>
          <w:rFonts w:ascii="Times New Roman" w:eastAsia="Times New Roman" w:hAnsi="Times New Roman" w:cs="Times New Roman"/>
          <w:bCs/>
          <w:sz w:val="24"/>
          <w:szCs w:val="24"/>
        </w:rPr>
        <w:t>07 ha</w:t>
      </w:r>
    </w:p>
    <w:p w:rsidR="00FA0056" w:rsidRDefault="00FA0056" w:rsidP="00E21F85">
      <w:pPr>
        <w:pStyle w:val="Sarakstarindkopa"/>
        <w:numPr>
          <w:ilvl w:val="0"/>
          <w:numId w:val="11"/>
        </w:numPr>
        <w:tabs>
          <w:tab w:val="num" w:pos="432"/>
        </w:tab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ekspluatācijas aizsargjoslas teritorija gar valsts vietējiem un pašvaldības autoceļiem lauku apvidos –</w:t>
      </w:r>
      <w:r w:rsidR="002D783A">
        <w:rPr>
          <w:rFonts w:ascii="Times New Roman" w:eastAsia="Times New Roman" w:hAnsi="Times New Roman" w:cs="Times New Roman"/>
          <w:bCs/>
          <w:sz w:val="24"/>
          <w:szCs w:val="24"/>
        </w:rPr>
        <w:t xml:space="preserve"> 0.</w:t>
      </w:r>
      <w:r>
        <w:rPr>
          <w:rFonts w:ascii="Times New Roman" w:eastAsia="Times New Roman" w:hAnsi="Times New Roman" w:cs="Times New Roman"/>
          <w:bCs/>
          <w:sz w:val="24"/>
          <w:szCs w:val="24"/>
        </w:rPr>
        <w:t>32 ha</w:t>
      </w:r>
    </w:p>
    <w:p w:rsidR="00FA0056" w:rsidRDefault="00FA0056" w:rsidP="00FA0056">
      <w:pPr>
        <w:pStyle w:val="Sarakstarindkopa"/>
        <w:numPr>
          <w:ilvl w:val="0"/>
          <w:numId w:val="11"/>
        </w:numPr>
        <w:rPr>
          <w:rFonts w:ascii="Times New Roman" w:eastAsia="Times New Roman" w:hAnsi="Times New Roman" w:cs="Times New Roman"/>
          <w:bCs/>
          <w:sz w:val="24"/>
          <w:szCs w:val="24"/>
        </w:rPr>
      </w:pPr>
      <w:r w:rsidRPr="00FA0056">
        <w:rPr>
          <w:rFonts w:ascii="Times New Roman" w:eastAsia="Times New Roman" w:hAnsi="Times New Roman" w:cs="Times New Roman"/>
          <w:bCs/>
          <w:sz w:val="24"/>
          <w:szCs w:val="24"/>
        </w:rPr>
        <w:t>ekspluatācijas aizsargjoslas teritorija gar valsts vietējiem un pašvaldīb</w:t>
      </w:r>
      <w:r w:rsidR="002D783A">
        <w:rPr>
          <w:rFonts w:ascii="Times New Roman" w:eastAsia="Times New Roman" w:hAnsi="Times New Roman" w:cs="Times New Roman"/>
          <w:bCs/>
          <w:sz w:val="24"/>
          <w:szCs w:val="24"/>
        </w:rPr>
        <w:t>as autoceļiem lauku apvidos – 0.</w:t>
      </w:r>
      <w:r>
        <w:rPr>
          <w:rFonts w:ascii="Times New Roman" w:eastAsia="Times New Roman" w:hAnsi="Times New Roman" w:cs="Times New Roman"/>
          <w:bCs/>
          <w:sz w:val="24"/>
          <w:szCs w:val="24"/>
        </w:rPr>
        <w:t>29</w:t>
      </w:r>
      <w:r w:rsidRPr="00FA0056">
        <w:rPr>
          <w:rFonts w:ascii="Times New Roman" w:eastAsia="Times New Roman" w:hAnsi="Times New Roman" w:cs="Times New Roman"/>
          <w:bCs/>
          <w:sz w:val="24"/>
          <w:szCs w:val="24"/>
        </w:rPr>
        <w:t xml:space="preserve"> ha</w:t>
      </w:r>
    </w:p>
    <w:p w:rsidR="00FA0056" w:rsidRDefault="002D783A" w:rsidP="002D783A">
      <w:pPr>
        <w:ind w:left="567" w:hanging="5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1.5 </w:t>
      </w:r>
      <w:r w:rsidR="00FA0056" w:rsidRPr="00FA0056">
        <w:rPr>
          <w:rFonts w:ascii="Times New Roman" w:eastAsia="Times New Roman" w:hAnsi="Times New Roman" w:cs="Times New Roman"/>
          <w:bCs/>
          <w:sz w:val="24"/>
          <w:szCs w:val="24"/>
        </w:rPr>
        <w:t>Zemes vienības ar kadastra apzīmē</w:t>
      </w:r>
      <w:r w:rsidR="00FA0056">
        <w:rPr>
          <w:rFonts w:ascii="Times New Roman" w:eastAsia="Times New Roman" w:hAnsi="Times New Roman" w:cs="Times New Roman"/>
          <w:bCs/>
          <w:sz w:val="24"/>
          <w:szCs w:val="24"/>
        </w:rPr>
        <w:t>jumu Nr.6664009014</w:t>
      </w:r>
      <w:r w:rsidR="00FA0056" w:rsidRPr="00FA0056">
        <w:rPr>
          <w:rFonts w:ascii="Times New Roman" w:eastAsia="Times New Roman" w:hAnsi="Times New Roman" w:cs="Times New Roman"/>
          <w:bCs/>
          <w:sz w:val="24"/>
          <w:szCs w:val="24"/>
        </w:rPr>
        <w:t>1 noteikti lietošanas tiesību apgrūtinājumi:</w:t>
      </w:r>
    </w:p>
    <w:p w:rsidR="00FA0056" w:rsidRPr="00FA0056" w:rsidRDefault="00FA0056" w:rsidP="00FA0056">
      <w:pPr>
        <w:pStyle w:val="Sarakstarindkopa"/>
        <w:numPr>
          <w:ilvl w:val="0"/>
          <w:numId w:val="11"/>
        </w:numPr>
        <w:rPr>
          <w:rFonts w:ascii="Times New Roman" w:eastAsia="Times New Roman" w:hAnsi="Times New Roman" w:cs="Times New Roman"/>
          <w:bCs/>
          <w:sz w:val="24"/>
          <w:szCs w:val="24"/>
        </w:rPr>
      </w:pPr>
      <w:r w:rsidRPr="00FA0056">
        <w:rPr>
          <w:rFonts w:ascii="Times New Roman" w:eastAsia="Times New Roman" w:hAnsi="Times New Roman" w:cs="Times New Roman"/>
          <w:bCs/>
          <w:sz w:val="24"/>
          <w:szCs w:val="24"/>
        </w:rPr>
        <w:t>biosfēras rezervāta ainavu aizs</w:t>
      </w:r>
      <w:r w:rsidR="002D783A">
        <w:rPr>
          <w:rFonts w:ascii="Times New Roman" w:eastAsia="Times New Roman" w:hAnsi="Times New Roman" w:cs="Times New Roman"/>
          <w:bCs/>
          <w:sz w:val="24"/>
          <w:szCs w:val="24"/>
        </w:rPr>
        <w:t>ardzības zonas teritorija – 1.</w:t>
      </w:r>
      <w:r>
        <w:rPr>
          <w:rFonts w:ascii="Times New Roman" w:eastAsia="Times New Roman" w:hAnsi="Times New Roman" w:cs="Times New Roman"/>
          <w:bCs/>
          <w:sz w:val="24"/>
          <w:szCs w:val="24"/>
        </w:rPr>
        <w:t>34</w:t>
      </w:r>
      <w:r w:rsidRPr="00FA0056">
        <w:rPr>
          <w:rFonts w:ascii="Times New Roman" w:eastAsia="Times New Roman" w:hAnsi="Times New Roman" w:cs="Times New Roman"/>
          <w:bCs/>
          <w:sz w:val="24"/>
          <w:szCs w:val="24"/>
        </w:rPr>
        <w:t xml:space="preserve"> ha</w:t>
      </w:r>
    </w:p>
    <w:p w:rsidR="00FA0056" w:rsidRDefault="00FA0056" w:rsidP="00FA0056">
      <w:pPr>
        <w:pStyle w:val="Sarakstarindkopa"/>
        <w:numPr>
          <w:ilvl w:val="0"/>
          <w:numId w:val="11"/>
        </w:num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vides un dabas resursu aizsardzības aizsargjoslas (aizsardzības zonas) teritorija ap </w:t>
      </w:r>
      <w:r w:rsidRPr="00FA0056">
        <w:rPr>
          <w:rFonts w:ascii="Times New Roman" w:eastAsia="Times New Roman" w:hAnsi="Times New Roman" w:cs="Times New Roman"/>
          <w:bCs/>
          <w:sz w:val="24"/>
          <w:szCs w:val="24"/>
        </w:rPr>
        <w:t>k</w:t>
      </w:r>
      <w:r>
        <w:rPr>
          <w:rFonts w:ascii="Times New Roman" w:eastAsia="Times New Roman" w:hAnsi="Times New Roman" w:cs="Times New Roman"/>
          <w:bCs/>
          <w:sz w:val="24"/>
          <w:szCs w:val="24"/>
        </w:rPr>
        <w:t>ultūra</w:t>
      </w:r>
      <w:r w:rsidR="002D783A">
        <w:rPr>
          <w:rFonts w:ascii="Times New Roman" w:eastAsia="Times New Roman" w:hAnsi="Times New Roman" w:cs="Times New Roman"/>
          <w:bCs/>
          <w:sz w:val="24"/>
          <w:szCs w:val="24"/>
        </w:rPr>
        <w:t>s pieminekli laukos – 1.</w:t>
      </w:r>
      <w:r>
        <w:rPr>
          <w:rFonts w:ascii="Times New Roman" w:eastAsia="Times New Roman" w:hAnsi="Times New Roman" w:cs="Times New Roman"/>
          <w:bCs/>
          <w:sz w:val="24"/>
          <w:szCs w:val="24"/>
        </w:rPr>
        <w:t>34</w:t>
      </w:r>
      <w:r w:rsidRPr="00FA0056">
        <w:rPr>
          <w:rFonts w:ascii="Times New Roman" w:eastAsia="Times New Roman" w:hAnsi="Times New Roman" w:cs="Times New Roman"/>
          <w:bCs/>
          <w:sz w:val="24"/>
          <w:szCs w:val="24"/>
        </w:rPr>
        <w:t xml:space="preserve"> ha</w:t>
      </w:r>
    </w:p>
    <w:p w:rsidR="00FA0056" w:rsidRDefault="00FA0056" w:rsidP="00FA0056">
      <w:pPr>
        <w:pStyle w:val="Sarakstarindkopa"/>
        <w:numPr>
          <w:ilvl w:val="0"/>
          <w:numId w:val="11"/>
        </w:numPr>
        <w:rPr>
          <w:rFonts w:ascii="Times New Roman" w:eastAsia="Times New Roman" w:hAnsi="Times New Roman" w:cs="Times New Roman"/>
          <w:bCs/>
          <w:sz w:val="24"/>
          <w:szCs w:val="24"/>
        </w:rPr>
      </w:pPr>
      <w:r w:rsidRPr="00FA0056">
        <w:rPr>
          <w:rFonts w:ascii="Times New Roman" w:eastAsia="Times New Roman" w:hAnsi="Times New Roman" w:cs="Times New Roman"/>
          <w:bCs/>
          <w:sz w:val="24"/>
          <w:szCs w:val="24"/>
        </w:rPr>
        <w:lastRenderedPageBreak/>
        <w:t>ekspluatācijas aizsargjoslas teritorija gar valsts vietējiem un pašvaldības</w:t>
      </w:r>
      <w:r w:rsidR="002D783A">
        <w:rPr>
          <w:rFonts w:ascii="Times New Roman" w:eastAsia="Times New Roman" w:hAnsi="Times New Roman" w:cs="Times New Roman"/>
          <w:bCs/>
          <w:sz w:val="24"/>
          <w:szCs w:val="24"/>
        </w:rPr>
        <w:t xml:space="preserve"> autoceļiem lauku apvidos – 0.</w:t>
      </w:r>
      <w:r>
        <w:rPr>
          <w:rFonts w:ascii="Times New Roman" w:eastAsia="Times New Roman" w:hAnsi="Times New Roman" w:cs="Times New Roman"/>
          <w:bCs/>
          <w:sz w:val="24"/>
          <w:szCs w:val="24"/>
        </w:rPr>
        <w:t>27</w:t>
      </w:r>
      <w:r w:rsidRPr="00FA0056">
        <w:rPr>
          <w:rFonts w:ascii="Times New Roman" w:eastAsia="Times New Roman" w:hAnsi="Times New Roman" w:cs="Times New Roman"/>
          <w:bCs/>
          <w:sz w:val="24"/>
          <w:szCs w:val="24"/>
        </w:rPr>
        <w:t xml:space="preserve"> ha</w:t>
      </w:r>
    </w:p>
    <w:p w:rsidR="00FA0056" w:rsidRDefault="00FA0056" w:rsidP="00FA0056">
      <w:pPr>
        <w:pStyle w:val="Sarakstarindkopa"/>
        <w:numPr>
          <w:ilvl w:val="0"/>
          <w:numId w:val="11"/>
        </w:numPr>
        <w:rPr>
          <w:rFonts w:ascii="Times New Roman" w:eastAsia="Times New Roman" w:hAnsi="Times New Roman" w:cs="Times New Roman"/>
          <w:bCs/>
          <w:sz w:val="24"/>
          <w:szCs w:val="24"/>
        </w:rPr>
      </w:pPr>
      <w:r w:rsidRPr="00FA0056">
        <w:rPr>
          <w:rFonts w:ascii="Times New Roman" w:eastAsia="Times New Roman" w:hAnsi="Times New Roman" w:cs="Times New Roman"/>
          <w:bCs/>
          <w:sz w:val="24"/>
          <w:szCs w:val="24"/>
        </w:rPr>
        <w:t>ekspluatācijas aizsargjoslas teritorija gar</w:t>
      </w:r>
      <w:r>
        <w:rPr>
          <w:rFonts w:ascii="Times New Roman" w:eastAsia="Times New Roman" w:hAnsi="Times New Roman" w:cs="Times New Roman"/>
          <w:bCs/>
          <w:sz w:val="24"/>
          <w:szCs w:val="24"/>
        </w:rPr>
        <w:t xml:space="preserve"> elektrisko tīklu gaisvadu līniju ārpus pilsētām un ciemiem ar nominālo spriegumu līdz 20 kilovoltiem –</w:t>
      </w:r>
      <w:r w:rsidR="002D783A">
        <w:rPr>
          <w:rFonts w:ascii="Times New Roman" w:eastAsia="Times New Roman" w:hAnsi="Times New Roman" w:cs="Times New Roman"/>
          <w:bCs/>
          <w:sz w:val="24"/>
          <w:szCs w:val="24"/>
        </w:rPr>
        <w:t xml:space="preserve"> 0.</w:t>
      </w:r>
      <w:r>
        <w:rPr>
          <w:rFonts w:ascii="Times New Roman" w:eastAsia="Times New Roman" w:hAnsi="Times New Roman" w:cs="Times New Roman"/>
          <w:bCs/>
          <w:sz w:val="24"/>
          <w:szCs w:val="24"/>
        </w:rPr>
        <w:t>03 ha</w:t>
      </w:r>
    </w:p>
    <w:p w:rsidR="00FA0056" w:rsidRDefault="00FA0056" w:rsidP="00FA0056">
      <w:pPr>
        <w:pStyle w:val="Sarakstarindkopa"/>
        <w:numPr>
          <w:ilvl w:val="0"/>
          <w:numId w:val="11"/>
        </w:numPr>
        <w:rPr>
          <w:rFonts w:ascii="Times New Roman" w:eastAsia="Times New Roman" w:hAnsi="Times New Roman" w:cs="Times New Roman"/>
          <w:bCs/>
          <w:sz w:val="24"/>
          <w:szCs w:val="24"/>
        </w:rPr>
      </w:pPr>
      <w:r w:rsidRPr="00FA0056">
        <w:rPr>
          <w:rFonts w:ascii="Times New Roman" w:eastAsia="Times New Roman" w:hAnsi="Times New Roman" w:cs="Times New Roman"/>
          <w:bCs/>
          <w:sz w:val="24"/>
          <w:szCs w:val="24"/>
        </w:rPr>
        <w:t>ekspluatācijas aizsargjoslas teritorija gar</w:t>
      </w:r>
      <w:r>
        <w:rPr>
          <w:rFonts w:ascii="Times New Roman" w:eastAsia="Times New Roman" w:hAnsi="Times New Roman" w:cs="Times New Roman"/>
          <w:bCs/>
          <w:sz w:val="24"/>
          <w:szCs w:val="24"/>
        </w:rPr>
        <w:t xml:space="preserve"> elektrisko tīklu kabeļu l</w:t>
      </w:r>
      <w:r w:rsidR="002D783A">
        <w:rPr>
          <w:rFonts w:ascii="Times New Roman" w:eastAsia="Times New Roman" w:hAnsi="Times New Roman" w:cs="Times New Roman"/>
          <w:bCs/>
          <w:sz w:val="24"/>
          <w:szCs w:val="24"/>
        </w:rPr>
        <w:t>īniju 0.</w:t>
      </w:r>
      <w:r>
        <w:rPr>
          <w:rFonts w:ascii="Times New Roman" w:eastAsia="Times New Roman" w:hAnsi="Times New Roman" w:cs="Times New Roman"/>
          <w:bCs/>
          <w:sz w:val="24"/>
          <w:szCs w:val="24"/>
        </w:rPr>
        <w:t>02 ha</w:t>
      </w:r>
    </w:p>
    <w:p w:rsidR="002D783A" w:rsidRDefault="002D783A" w:rsidP="002D783A">
      <w:pPr>
        <w:pStyle w:val="Sarakstarindkopa"/>
        <w:numPr>
          <w:ilvl w:val="0"/>
          <w:numId w:val="11"/>
        </w:numPr>
        <w:rPr>
          <w:rFonts w:ascii="Times New Roman" w:eastAsia="Times New Roman" w:hAnsi="Times New Roman" w:cs="Times New Roman"/>
          <w:bCs/>
          <w:sz w:val="24"/>
          <w:szCs w:val="24"/>
        </w:rPr>
      </w:pPr>
      <w:r w:rsidRPr="002D783A">
        <w:rPr>
          <w:rFonts w:ascii="Times New Roman" w:eastAsia="Times New Roman" w:hAnsi="Times New Roman" w:cs="Times New Roman"/>
          <w:bCs/>
          <w:sz w:val="24"/>
          <w:szCs w:val="24"/>
        </w:rPr>
        <w:t>ekspluatācijas aizsargjoslas teritorija gar ele</w:t>
      </w:r>
      <w:r>
        <w:rPr>
          <w:rFonts w:ascii="Times New Roman" w:eastAsia="Times New Roman" w:hAnsi="Times New Roman" w:cs="Times New Roman"/>
          <w:bCs/>
          <w:sz w:val="24"/>
          <w:szCs w:val="24"/>
        </w:rPr>
        <w:t>ktrisko tīklu kabeļu līniju 00</w:t>
      </w:r>
      <w:r w:rsidRPr="002D783A">
        <w:rPr>
          <w:rFonts w:ascii="Times New Roman" w:eastAsia="Times New Roman" w:hAnsi="Times New Roman" w:cs="Times New Roman"/>
          <w:bCs/>
          <w:sz w:val="24"/>
          <w:szCs w:val="24"/>
        </w:rPr>
        <w:t xml:space="preserve"> ha</w:t>
      </w:r>
    </w:p>
    <w:p w:rsidR="002D783A" w:rsidRDefault="002D783A" w:rsidP="002D783A">
      <w:pPr>
        <w:ind w:left="426" w:hanging="42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1.6 </w:t>
      </w:r>
      <w:r w:rsidRPr="002D783A">
        <w:rPr>
          <w:rFonts w:ascii="Times New Roman" w:eastAsia="Times New Roman" w:hAnsi="Times New Roman" w:cs="Times New Roman"/>
          <w:bCs/>
          <w:sz w:val="24"/>
          <w:szCs w:val="24"/>
        </w:rPr>
        <w:t>Zemes vienības ar kadastra apzīmējumu Nr.6</w:t>
      </w:r>
      <w:r>
        <w:rPr>
          <w:rFonts w:ascii="Times New Roman" w:eastAsia="Times New Roman" w:hAnsi="Times New Roman" w:cs="Times New Roman"/>
          <w:bCs/>
          <w:sz w:val="24"/>
          <w:szCs w:val="24"/>
        </w:rPr>
        <w:t>6640090145</w:t>
      </w:r>
      <w:r w:rsidRPr="002D783A">
        <w:rPr>
          <w:rFonts w:ascii="Times New Roman" w:eastAsia="Times New Roman" w:hAnsi="Times New Roman" w:cs="Times New Roman"/>
          <w:bCs/>
          <w:sz w:val="24"/>
          <w:szCs w:val="24"/>
        </w:rPr>
        <w:t xml:space="preserve"> noteikti lietošanas tiesību apgrūtinājumi</w:t>
      </w:r>
      <w:r>
        <w:rPr>
          <w:rFonts w:ascii="Times New Roman" w:eastAsia="Times New Roman" w:hAnsi="Times New Roman" w:cs="Times New Roman"/>
          <w:bCs/>
          <w:sz w:val="24"/>
          <w:szCs w:val="24"/>
        </w:rPr>
        <w:t>:</w:t>
      </w:r>
    </w:p>
    <w:p w:rsidR="002D783A" w:rsidRDefault="002D783A" w:rsidP="002D783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2D783A">
        <w:rPr>
          <w:rFonts w:ascii="Times New Roman" w:eastAsia="Times New Roman" w:hAnsi="Times New Roman" w:cs="Times New Roman"/>
          <w:bCs/>
          <w:sz w:val="24"/>
          <w:szCs w:val="24"/>
        </w:rPr>
        <w:t>biosfēras rezervāta ainavu aizs</w:t>
      </w:r>
      <w:r>
        <w:rPr>
          <w:rFonts w:ascii="Times New Roman" w:eastAsia="Times New Roman" w:hAnsi="Times New Roman" w:cs="Times New Roman"/>
          <w:bCs/>
          <w:sz w:val="24"/>
          <w:szCs w:val="24"/>
        </w:rPr>
        <w:t>ardzības zonas teritorija – 2.03</w:t>
      </w:r>
      <w:r w:rsidRPr="002D783A">
        <w:rPr>
          <w:rFonts w:ascii="Times New Roman" w:eastAsia="Times New Roman" w:hAnsi="Times New Roman" w:cs="Times New Roman"/>
          <w:bCs/>
          <w:sz w:val="24"/>
          <w:szCs w:val="24"/>
        </w:rPr>
        <w:t xml:space="preserve"> ha</w:t>
      </w:r>
    </w:p>
    <w:p w:rsidR="002D783A" w:rsidRDefault="002D783A" w:rsidP="002D783A">
      <w:pPr>
        <w:ind w:left="567" w:hanging="284"/>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 xml:space="preserve">- </w:t>
      </w:r>
      <w:r w:rsidRPr="002D783A">
        <w:rPr>
          <w:rFonts w:ascii="Times New Roman" w:eastAsia="Times New Roman" w:hAnsi="Times New Roman" w:cs="Times New Roman"/>
          <w:bCs/>
          <w:sz w:val="24"/>
          <w:szCs w:val="24"/>
        </w:rPr>
        <w:t>vides un dabas resursu aizsardzības aizsargjoslas (aizsardzības zonas) teritorija ap k</w:t>
      </w:r>
      <w:r>
        <w:rPr>
          <w:rFonts w:ascii="Times New Roman" w:eastAsia="Times New Roman" w:hAnsi="Times New Roman" w:cs="Times New Roman"/>
          <w:bCs/>
          <w:sz w:val="24"/>
          <w:szCs w:val="24"/>
        </w:rPr>
        <w:t>ultūras pieminekli laukos – 0.75</w:t>
      </w:r>
      <w:r w:rsidRPr="002D783A">
        <w:rPr>
          <w:rFonts w:ascii="Times New Roman" w:eastAsia="Times New Roman" w:hAnsi="Times New Roman" w:cs="Times New Roman"/>
          <w:bCs/>
          <w:sz w:val="24"/>
          <w:szCs w:val="24"/>
        </w:rPr>
        <w:t xml:space="preserve"> ha</w:t>
      </w:r>
    </w:p>
    <w:p w:rsidR="002D783A" w:rsidRDefault="002D783A" w:rsidP="002D783A">
      <w:pPr>
        <w:ind w:left="567" w:firstLine="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2D783A">
        <w:rPr>
          <w:rFonts w:ascii="Times New Roman" w:eastAsia="Times New Roman" w:hAnsi="Times New Roman" w:cs="Times New Roman"/>
          <w:bCs/>
          <w:sz w:val="24"/>
          <w:szCs w:val="24"/>
        </w:rPr>
        <w:t>ekspluatācijas aizsargjoslas teritorija gar valsts vietējiem un pašvaldība</w:t>
      </w:r>
      <w:r>
        <w:rPr>
          <w:rFonts w:ascii="Times New Roman" w:eastAsia="Times New Roman" w:hAnsi="Times New Roman" w:cs="Times New Roman"/>
          <w:bCs/>
          <w:sz w:val="24"/>
          <w:szCs w:val="24"/>
        </w:rPr>
        <w:t>s autoceļiem lauku apvidos – 0.3</w:t>
      </w:r>
      <w:r w:rsidRPr="002D783A">
        <w:rPr>
          <w:rFonts w:ascii="Times New Roman" w:eastAsia="Times New Roman" w:hAnsi="Times New Roman" w:cs="Times New Roman"/>
          <w:bCs/>
          <w:sz w:val="24"/>
          <w:szCs w:val="24"/>
        </w:rPr>
        <w:t>7 ha</w:t>
      </w:r>
    </w:p>
    <w:p w:rsidR="002D783A" w:rsidRPr="002D783A" w:rsidRDefault="002D783A" w:rsidP="00853B09">
      <w:pPr>
        <w:ind w:left="567" w:firstLine="0"/>
        <w:rPr>
          <w:rFonts w:ascii="Times New Roman" w:eastAsia="Times New Roman" w:hAnsi="Times New Roman" w:cs="Times New Roman"/>
          <w:bCs/>
          <w:sz w:val="24"/>
          <w:szCs w:val="24"/>
        </w:rPr>
      </w:pPr>
      <w:r w:rsidRPr="002D783A">
        <w:rPr>
          <w:rFonts w:ascii="Times New Roman" w:eastAsia="Times New Roman" w:hAnsi="Times New Roman" w:cs="Times New Roman"/>
          <w:bCs/>
          <w:sz w:val="24"/>
          <w:szCs w:val="24"/>
        </w:rPr>
        <w:t>-</w:t>
      </w:r>
      <w:r w:rsidRPr="002D783A">
        <w:rPr>
          <w:rFonts w:ascii="Times New Roman" w:eastAsia="Times New Roman" w:hAnsi="Times New Roman" w:cs="Times New Roman"/>
          <w:bCs/>
          <w:sz w:val="24"/>
          <w:szCs w:val="24"/>
        </w:rPr>
        <w:tab/>
        <w:t>ekspluatācijas aizsargjoslas teritorija gar el</w:t>
      </w:r>
      <w:r>
        <w:rPr>
          <w:rFonts w:ascii="Times New Roman" w:eastAsia="Times New Roman" w:hAnsi="Times New Roman" w:cs="Times New Roman"/>
          <w:bCs/>
          <w:sz w:val="24"/>
          <w:szCs w:val="24"/>
        </w:rPr>
        <w:t>ektronisko</w:t>
      </w:r>
      <w:r w:rsidRPr="002D783A">
        <w:rPr>
          <w:rFonts w:ascii="Times New Roman" w:eastAsia="Times New Roman" w:hAnsi="Times New Roman" w:cs="Times New Roman"/>
          <w:bCs/>
          <w:sz w:val="24"/>
          <w:szCs w:val="24"/>
        </w:rPr>
        <w:t xml:space="preserve"> tīklu</w:t>
      </w:r>
      <w:r>
        <w:rPr>
          <w:rFonts w:ascii="Times New Roman" w:eastAsia="Times New Roman" w:hAnsi="Times New Roman" w:cs="Times New Roman"/>
          <w:bCs/>
          <w:sz w:val="24"/>
          <w:szCs w:val="24"/>
        </w:rPr>
        <w:t xml:space="preserve"> sakaru gaisvada līniju – 0.04 ha</w:t>
      </w: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
          <w:bCs/>
          <w:sz w:val="24"/>
          <w:szCs w:val="24"/>
        </w:rPr>
        <w:t xml:space="preserve">IZSOLES RĪKOTĀJS – </w:t>
      </w:r>
      <w:r w:rsidRPr="00EB4B5A">
        <w:rPr>
          <w:rFonts w:ascii="Times New Roman" w:eastAsia="Times New Roman" w:hAnsi="Times New Roman" w:cs="Times New Roman"/>
          <w:sz w:val="24"/>
          <w:szCs w:val="24"/>
        </w:rPr>
        <w:t xml:space="preserve">Limbažu novada pašvaldības īpašumu privatizācijas un atsavināšanas komisija (turpmāk tekstā – </w:t>
      </w:r>
      <w:r w:rsidRPr="00EB4B5A">
        <w:rPr>
          <w:rFonts w:ascii="Times New Roman" w:eastAsia="Times New Roman" w:hAnsi="Times New Roman" w:cs="Times New Roman"/>
          <w:b/>
          <w:sz w:val="24"/>
          <w:szCs w:val="24"/>
        </w:rPr>
        <w:t>IZSOLES RĪKOTĀJS</w:t>
      </w:r>
      <w:r w:rsidRPr="00EB4B5A">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D44D90">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172269" w:rsidRPr="00172269">
        <w:rPr>
          <w:rFonts w:ascii="Times New Roman" w:eastAsia="Calibri" w:hAnsi="Times New Roman" w:cs="Times New Roman"/>
          <w:sz w:val="24"/>
          <w:szCs w:val="24"/>
        </w:rPr>
        <w:t>8100.00 EUR (astoņi tūkstoši viens simts eiro).</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423A12">
        <w:rPr>
          <w:rFonts w:ascii="Times New Roman" w:eastAsia="Times New Roman" w:hAnsi="Times New Roman" w:cs="Times New Roman"/>
          <w:b/>
          <w:bCs/>
          <w:sz w:val="24"/>
          <w:szCs w:val="24"/>
        </w:rPr>
        <w:t>7</w:t>
      </w:r>
      <w:r w:rsidRPr="00423A12">
        <w:rPr>
          <w:rFonts w:ascii="Times New Roman" w:eastAsia="Times New Roman" w:hAnsi="Times New Roman" w:cs="Times New Roman"/>
          <w:b/>
          <w:bCs/>
          <w:sz w:val="24"/>
          <w:szCs w:val="24"/>
        </w:rPr>
        <w:t xml:space="preserve">.gada </w:t>
      </w:r>
      <w:r w:rsidR="00317571">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līdz 2017</w:t>
      </w:r>
      <w:r w:rsidRPr="00423A12">
        <w:rPr>
          <w:rFonts w:ascii="Times New Roman" w:eastAsia="Times New Roman" w:hAnsi="Times New Roman" w:cs="Times New Roman"/>
          <w:b/>
          <w:bCs/>
          <w:sz w:val="24"/>
          <w:szCs w:val="24"/>
        </w:rPr>
        <w:t xml:space="preserve">.gada </w:t>
      </w:r>
      <w:r w:rsidR="00317571">
        <w:rPr>
          <w:rFonts w:ascii="Times New Roman" w:eastAsia="Times New Roman" w:hAnsi="Times New Roman" w:cs="Times New Roman"/>
          <w:b/>
          <w:bCs/>
          <w:sz w:val="24"/>
          <w:szCs w:val="24"/>
        </w:rPr>
        <w:t>18.</w:t>
      </w:r>
      <w:r w:rsidR="000809E0">
        <w:rPr>
          <w:rFonts w:ascii="Times New Roman" w:eastAsia="Times New Roman" w:hAnsi="Times New Roman" w:cs="Times New Roman"/>
          <w:b/>
          <w:bCs/>
          <w:sz w:val="24"/>
          <w:szCs w:val="24"/>
        </w:rPr>
        <w:t>decembrim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172269" w:rsidRPr="00317571" w:rsidRDefault="00F4014A" w:rsidP="00317571">
      <w:pPr>
        <w:pStyle w:val="Sarakstarindkopa"/>
        <w:numPr>
          <w:ilvl w:val="2"/>
          <w:numId w:val="4"/>
        </w:numPr>
        <w:rPr>
          <w:rFonts w:ascii="Times New Roman" w:eastAsia="Times New Roman" w:hAnsi="Times New Roman" w:cs="Times New Roman"/>
          <w:sz w:val="24"/>
          <w:szCs w:val="24"/>
        </w:rPr>
      </w:pPr>
      <w:r w:rsidRPr="00317571">
        <w:rPr>
          <w:rFonts w:ascii="Times New Roman" w:eastAsia="Times New Roman" w:hAnsi="Times New Roman" w:cs="Times New Roman"/>
          <w:sz w:val="24"/>
          <w:szCs w:val="24"/>
        </w:rPr>
        <w:t>nodrošinājuma nauda</w:t>
      </w:r>
      <w:r w:rsidRPr="00317571">
        <w:rPr>
          <w:rFonts w:ascii="Times New Roman" w:eastAsia="Times New Roman" w:hAnsi="Times New Roman" w:cs="Times New Roman"/>
          <w:color w:val="FF0000"/>
          <w:sz w:val="24"/>
          <w:szCs w:val="24"/>
        </w:rPr>
        <w:t xml:space="preserve"> </w:t>
      </w:r>
      <w:r w:rsidRPr="00317571">
        <w:rPr>
          <w:rFonts w:ascii="Times New Roman" w:eastAsia="Times New Roman" w:hAnsi="Times New Roman" w:cs="Times New Roman"/>
          <w:sz w:val="24"/>
          <w:szCs w:val="24"/>
        </w:rPr>
        <w:t>– 10 % apmērā no izsole</w:t>
      </w:r>
      <w:r w:rsidR="00423A12" w:rsidRPr="00317571">
        <w:rPr>
          <w:rFonts w:ascii="Times New Roman" w:eastAsia="Times New Roman" w:hAnsi="Times New Roman" w:cs="Times New Roman"/>
          <w:sz w:val="24"/>
          <w:szCs w:val="24"/>
        </w:rPr>
        <w:t xml:space="preserve">s objekta nosacītās cenas – </w:t>
      </w:r>
      <w:r w:rsidR="00172269" w:rsidRPr="00317571">
        <w:rPr>
          <w:rFonts w:ascii="Times New Roman" w:eastAsia="Times New Roman" w:hAnsi="Times New Roman" w:cs="Times New Roman"/>
          <w:sz w:val="24"/>
          <w:szCs w:val="24"/>
        </w:rPr>
        <w:t>810.00 EUR (astoņi simti desmit eiro).</w:t>
      </w:r>
    </w:p>
    <w:p w:rsidR="00F4014A" w:rsidRPr="00172269" w:rsidRDefault="00F4014A" w:rsidP="00F4014A">
      <w:pPr>
        <w:numPr>
          <w:ilvl w:val="1"/>
          <w:numId w:val="4"/>
        </w:numPr>
        <w:ind w:left="567" w:hanging="567"/>
        <w:rPr>
          <w:rFonts w:ascii="Times New Roman" w:eastAsia="Times New Roman" w:hAnsi="Times New Roman" w:cs="Times New Roman"/>
          <w:sz w:val="24"/>
          <w:szCs w:val="24"/>
        </w:rPr>
      </w:pPr>
      <w:r w:rsidRPr="00172269">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E77B67">
        <w:rPr>
          <w:rFonts w:ascii="Times New Roman" w:eastAsia="Times New Roman" w:hAnsi="Times New Roman" w:cs="Times New Roman"/>
          <w:b/>
          <w:bCs/>
          <w:sz w:val="24"/>
          <w:szCs w:val="24"/>
        </w:rPr>
        <w:t>2017</w:t>
      </w:r>
      <w:r w:rsidRPr="00E77B67">
        <w:rPr>
          <w:rFonts w:ascii="Times New Roman" w:eastAsia="Times New Roman" w:hAnsi="Times New Roman" w:cs="Times New Roman"/>
          <w:b/>
          <w:bCs/>
          <w:sz w:val="24"/>
          <w:szCs w:val="24"/>
        </w:rPr>
        <w:t xml:space="preserve">.gada </w:t>
      </w:r>
      <w:r w:rsidR="00172269">
        <w:rPr>
          <w:rFonts w:ascii="Times New Roman" w:eastAsia="Times New Roman" w:hAnsi="Times New Roman" w:cs="Times New Roman"/>
          <w:b/>
          <w:bCs/>
          <w:sz w:val="24"/>
          <w:szCs w:val="24"/>
        </w:rPr>
        <w:t>19.</w:t>
      </w:r>
      <w:r w:rsidR="00026A36">
        <w:rPr>
          <w:rFonts w:ascii="Times New Roman" w:eastAsia="Times New Roman" w:hAnsi="Times New Roman" w:cs="Times New Roman"/>
          <w:b/>
          <w:bCs/>
          <w:sz w:val="24"/>
          <w:szCs w:val="24"/>
        </w:rPr>
        <w:t>decembrī</w:t>
      </w:r>
      <w:r w:rsidRPr="00E77B67">
        <w:rPr>
          <w:rFonts w:ascii="Times New Roman" w:eastAsia="Times New Roman" w:hAnsi="Times New Roman" w:cs="Times New Roman"/>
          <w:b/>
          <w:bCs/>
          <w:sz w:val="24"/>
          <w:szCs w:val="24"/>
        </w:rPr>
        <w:t xml:space="preserve"> plkst.10</w:t>
      </w:r>
      <w:r w:rsidR="00026A36">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lastRenderedPageBreak/>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172269">
        <w:rPr>
          <w:rFonts w:ascii="Times New Roman" w:eastAsia="Times New Roman" w:hAnsi="Times New Roman" w:cs="Times New Roman"/>
          <w:sz w:val="24"/>
          <w:szCs w:val="24"/>
          <w:lang w:eastAsia="lv-LV"/>
        </w:rPr>
        <w:t xml:space="preserve">                                         </w:t>
      </w:r>
      <w:r w:rsidR="00317571">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31757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E21F85">
        <w:rPr>
          <w:rFonts w:ascii="Times New Roman" w:eastAsia="Times New Roman" w:hAnsi="Times New Roman" w:cs="Times New Roman"/>
          <w:sz w:val="24"/>
          <w:szCs w:val="24"/>
        </w:rPr>
        <w:t>“</w:t>
      </w:r>
      <w:proofErr w:type="spellStart"/>
      <w:r w:rsidR="00026A36">
        <w:rPr>
          <w:rFonts w:ascii="Times New Roman" w:eastAsia="Times New Roman" w:hAnsi="Times New Roman" w:cs="Times New Roman"/>
          <w:sz w:val="24"/>
          <w:szCs w:val="24"/>
        </w:rPr>
        <w:t>Tīrlauku</w:t>
      </w:r>
      <w:proofErr w:type="spellEnd"/>
      <w:r w:rsidR="00026A36">
        <w:rPr>
          <w:rFonts w:ascii="Times New Roman" w:eastAsia="Times New Roman" w:hAnsi="Times New Roman" w:cs="Times New Roman"/>
          <w:sz w:val="24"/>
          <w:szCs w:val="24"/>
        </w:rPr>
        <w:t xml:space="preserve"> pļavas</w:t>
      </w:r>
      <w:r w:rsidR="00E21F85">
        <w:rPr>
          <w:rFonts w:ascii="Times New Roman" w:eastAsia="Times New Roman" w:hAnsi="Times New Roman" w:cs="Times New Roman"/>
          <w:sz w:val="24"/>
          <w:szCs w:val="24"/>
        </w:rPr>
        <w:t>”, Limbažu</w:t>
      </w:r>
      <w:r w:rsidR="00CE3B78" w:rsidRPr="00CE3B78">
        <w:rPr>
          <w:rFonts w:ascii="Times New Roman" w:eastAsia="Times New Roman" w:hAnsi="Times New Roman" w:cs="Times New Roman"/>
          <w:sz w:val="24"/>
          <w:szCs w:val="24"/>
        </w:rPr>
        <w:t xml:space="preserve"> pagasts</w:t>
      </w:r>
      <w:r w:rsidR="009025DE">
        <w:rPr>
          <w:rFonts w:ascii="Times New Roman" w:eastAsia="Times New Roman" w:hAnsi="Times New Roman" w:cs="Times New Roman"/>
          <w:sz w:val="24"/>
          <w:szCs w:val="24"/>
        </w:rPr>
        <w:t>, L</w:t>
      </w:r>
      <w:r w:rsidR="009025DE" w:rsidRPr="009025DE">
        <w:rPr>
          <w:rFonts w:ascii="Times New Roman" w:eastAsia="Times New Roman" w:hAnsi="Times New Roman" w:cs="Times New Roman"/>
          <w:sz w:val="24"/>
          <w:szCs w:val="24"/>
        </w:rPr>
        <w:t>imbažu novadā,</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E21F85" w:rsidP="00F4014A">
      <w:pPr>
        <w:jc w:val="center"/>
        <w:rPr>
          <w:rFonts w:ascii="Times New Roman" w:eastAsia="Times New Roman" w:hAnsi="Times New Roman" w:cs="Times New Roman"/>
          <w:sz w:val="24"/>
        </w:rPr>
      </w:pPr>
      <w:r w:rsidRPr="00E21F85">
        <w:rPr>
          <w:rFonts w:ascii="Times New Roman" w:eastAsia="Times New Roman" w:hAnsi="Times New Roman" w:cs="Times New Roman"/>
          <w:sz w:val="24"/>
          <w:szCs w:val="24"/>
        </w:rPr>
        <w:t>“</w:t>
      </w:r>
      <w:proofErr w:type="spellStart"/>
      <w:r w:rsidR="00026A36" w:rsidRPr="00026A36">
        <w:rPr>
          <w:rFonts w:ascii="Times New Roman" w:eastAsia="Times New Roman" w:hAnsi="Times New Roman" w:cs="Times New Roman"/>
          <w:sz w:val="24"/>
          <w:szCs w:val="24"/>
        </w:rPr>
        <w:t>Tīrlauku</w:t>
      </w:r>
      <w:proofErr w:type="spellEnd"/>
      <w:r w:rsidR="00026A36" w:rsidRPr="00026A36">
        <w:rPr>
          <w:rFonts w:ascii="Times New Roman" w:eastAsia="Times New Roman" w:hAnsi="Times New Roman" w:cs="Times New Roman"/>
          <w:sz w:val="24"/>
          <w:szCs w:val="24"/>
        </w:rPr>
        <w:t xml:space="preserve"> pļavas</w:t>
      </w:r>
      <w:r w:rsidRPr="00E21F85">
        <w:rPr>
          <w:rFonts w:ascii="Times New Roman" w:eastAsia="Times New Roman" w:hAnsi="Times New Roman" w:cs="Times New Roman"/>
          <w:sz w:val="24"/>
          <w:szCs w:val="24"/>
        </w:rPr>
        <w:t>”, Limbažu pagasts</w:t>
      </w:r>
      <w:r w:rsidR="00F4014A" w:rsidRPr="00EB4B5A">
        <w:rPr>
          <w:rFonts w:ascii="Times New Roman" w:eastAsia="Times New Roman" w:hAnsi="Times New Roman" w:cs="Times New Roman"/>
          <w:sz w:val="24"/>
        </w:rPr>
        <w:t xml:space="preserve">, Limbažu novads,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291914"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2017</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026A36" w:rsidRPr="00026A36">
        <w:rPr>
          <w:rFonts w:ascii="Times New Roman" w:eastAsia="Calibri" w:hAnsi="Times New Roman" w:cs="Times New Roman"/>
          <w:sz w:val="24"/>
        </w:rPr>
        <w:t>“</w:t>
      </w:r>
      <w:proofErr w:type="spellStart"/>
      <w:r w:rsidR="00026A36" w:rsidRPr="00026A36">
        <w:rPr>
          <w:rFonts w:ascii="Times New Roman" w:eastAsia="Calibri" w:hAnsi="Times New Roman" w:cs="Times New Roman"/>
          <w:sz w:val="24"/>
        </w:rPr>
        <w:t>Tīrlauku</w:t>
      </w:r>
      <w:proofErr w:type="spellEnd"/>
      <w:r w:rsidR="00026A36" w:rsidRPr="00026A36">
        <w:rPr>
          <w:rFonts w:ascii="Times New Roman" w:eastAsia="Calibri" w:hAnsi="Times New Roman" w:cs="Times New Roman"/>
          <w:sz w:val="24"/>
        </w:rPr>
        <w:t xml:space="preserve"> pļavas”, Limbažu pagasts, Limbažu novadā ar kadastra numuru 66640090105, kas sastāv no 3 (trīs) zemes vienībām, kur viena zemes vienība (apzīmējums kadastrā 66640090131) ir 5500m2 platībā, otra zemes vienība (apzīmējums kadastrā 66640090141) ir 1,34 ha platībā un trešā zemes vienība (apzīmējums kadastrā 66640090145) ir 2,03 ha platībā</w:t>
      </w:r>
      <w:r w:rsidR="00E21F85" w:rsidRPr="00E21F85">
        <w:rPr>
          <w:rFonts w:ascii="Times New Roman" w:eastAsia="Calibri" w:hAnsi="Times New Roman" w:cs="Times New Roman"/>
          <w:sz w:val="24"/>
        </w:rPr>
        <w:t xml:space="preserve">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F4014A" w:rsidRPr="00F4014A" w:rsidRDefault="0031757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291914">
        <w:rPr>
          <w:rFonts w:ascii="Times New Roman" w:eastAsia="Times New Roman" w:hAnsi="Times New Roman" w:cs="Times New Roman"/>
          <w:sz w:val="24"/>
          <w:szCs w:val="24"/>
          <w:lang w:eastAsia="lv-LV"/>
        </w:rPr>
        <w:t>.</w:t>
      </w:r>
      <w:r w:rsidR="00F4014A" w:rsidRPr="00D11705">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E21F85" w:rsidRPr="00E21F85">
        <w:rPr>
          <w:rFonts w:ascii="Times New Roman" w:eastAsia="Times New Roman" w:hAnsi="Times New Roman" w:cs="Times New Roman"/>
          <w:sz w:val="24"/>
          <w:szCs w:val="24"/>
        </w:rPr>
        <w:t>“</w:t>
      </w:r>
      <w:proofErr w:type="spellStart"/>
      <w:r w:rsidR="00026A36" w:rsidRPr="00026A36">
        <w:rPr>
          <w:rFonts w:ascii="Times New Roman" w:eastAsia="Times New Roman" w:hAnsi="Times New Roman" w:cs="Times New Roman"/>
          <w:sz w:val="24"/>
          <w:szCs w:val="24"/>
        </w:rPr>
        <w:t>Tīrlauku</w:t>
      </w:r>
      <w:proofErr w:type="spellEnd"/>
      <w:r w:rsidR="00026A36" w:rsidRPr="00026A36">
        <w:rPr>
          <w:rFonts w:ascii="Times New Roman" w:eastAsia="Times New Roman" w:hAnsi="Times New Roman" w:cs="Times New Roman"/>
          <w:sz w:val="24"/>
          <w:szCs w:val="24"/>
        </w:rPr>
        <w:t xml:space="preserve"> pļavas</w:t>
      </w:r>
      <w:r w:rsidR="00E21F85" w:rsidRPr="00E21F85">
        <w:rPr>
          <w:rFonts w:ascii="Times New Roman" w:eastAsia="Times New Roman" w:hAnsi="Times New Roman" w:cs="Times New Roman"/>
          <w:sz w:val="24"/>
          <w:szCs w:val="24"/>
        </w:rPr>
        <w:t>”, Limbažu pagasts</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172269" w:rsidRPr="00172269">
        <w:rPr>
          <w:rFonts w:ascii="Times New Roman" w:eastAsia="Times New Roman" w:hAnsi="Times New Roman" w:cs="Times New Roman"/>
          <w:sz w:val="24"/>
          <w:szCs w:val="24"/>
        </w:rPr>
        <w:t>810.00</w:t>
      </w:r>
      <w:r w:rsidR="00172269">
        <w:rPr>
          <w:rFonts w:ascii="Times New Roman" w:eastAsia="Times New Roman" w:hAnsi="Times New Roman" w:cs="Times New Roman"/>
          <w:sz w:val="24"/>
          <w:szCs w:val="24"/>
        </w:rPr>
        <w:t xml:space="preserve"> EUR (astoņi simti desmit eiro)</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291914">
        <w:rPr>
          <w:rFonts w:ascii="Times New Roman" w:eastAsia="Times New Roman" w:hAnsi="Times New Roman" w:cs="Times New Roman"/>
          <w:sz w:val="24"/>
          <w:szCs w:val="24"/>
          <w:u w:val="single"/>
        </w:rPr>
        <w:t>2017</w:t>
      </w:r>
      <w:r w:rsidRPr="00291914">
        <w:rPr>
          <w:rFonts w:ascii="Times New Roman" w:eastAsia="Times New Roman" w:hAnsi="Times New Roman" w:cs="Times New Roman"/>
          <w:sz w:val="24"/>
          <w:szCs w:val="24"/>
          <w:u w:val="single"/>
        </w:rPr>
        <w:t xml:space="preserve">.gada </w:t>
      </w:r>
      <w:r w:rsidR="00317571">
        <w:rPr>
          <w:rFonts w:ascii="Times New Roman" w:eastAsia="Times New Roman" w:hAnsi="Times New Roman" w:cs="Times New Roman"/>
          <w:sz w:val="24"/>
          <w:szCs w:val="24"/>
          <w:u w:val="single"/>
        </w:rPr>
        <w:t>19.</w:t>
      </w:r>
      <w:r w:rsidR="00026A36">
        <w:rPr>
          <w:rFonts w:ascii="Times New Roman" w:eastAsia="Times New Roman" w:hAnsi="Times New Roman" w:cs="Times New Roman"/>
          <w:sz w:val="24"/>
          <w:szCs w:val="24"/>
          <w:u w:val="single"/>
        </w:rPr>
        <w:t>decembrī</w:t>
      </w:r>
      <w:r w:rsidRPr="00291914">
        <w:rPr>
          <w:rFonts w:ascii="Times New Roman" w:eastAsia="Times New Roman" w:hAnsi="Times New Roman" w:cs="Times New Roman"/>
          <w:sz w:val="24"/>
          <w:szCs w:val="24"/>
          <w:u w:val="single"/>
        </w:rPr>
        <w:t xml:space="preserve"> plkst.10</w:t>
      </w:r>
      <w:r w:rsidR="00026A36">
        <w:rPr>
          <w:rFonts w:ascii="Times New Roman" w:eastAsia="Times New Roman" w:hAnsi="Times New Roman" w:cs="Times New Roman"/>
          <w:sz w:val="24"/>
          <w:szCs w:val="24"/>
          <w:u w:val="single"/>
          <w:vertAlign w:val="superscript"/>
        </w:rPr>
        <w:t>00</w:t>
      </w:r>
      <w:r w:rsidRPr="00291914">
        <w:rPr>
          <w:rFonts w:ascii="Times New Roman" w:eastAsia="Times New Roman" w:hAnsi="Times New Roman" w:cs="Times New Roman"/>
          <w:sz w:val="24"/>
          <w:szCs w:val="24"/>
        </w:rPr>
        <w:t xml:space="preserve"> Rīgas ielā 16, Limbažos, kurā tiks izsolīts nekustamais īpašums – </w:t>
      </w:r>
      <w:r w:rsidR="00026A36" w:rsidRPr="00026A36">
        <w:rPr>
          <w:rFonts w:ascii="Times New Roman" w:eastAsia="Calibri" w:hAnsi="Times New Roman" w:cs="Times New Roman"/>
          <w:sz w:val="24"/>
        </w:rPr>
        <w:t>“</w:t>
      </w:r>
      <w:proofErr w:type="spellStart"/>
      <w:r w:rsidR="00026A36" w:rsidRPr="00026A36">
        <w:rPr>
          <w:rFonts w:ascii="Times New Roman" w:eastAsia="Calibri" w:hAnsi="Times New Roman" w:cs="Times New Roman"/>
          <w:sz w:val="24"/>
        </w:rPr>
        <w:t>Tīrlauku</w:t>
      </w:r>
      <w:proofErr w:type="spellEnd"/>
      <w:r w:rsidR="00026A36" w:rsidRPr="00026A36">
        <w:rPr>
          <w:rFonts w:ascii="Times New Roman" w:eastAsia="Calibri" w:hAnsi="Times New Roman" w:cs="Times New Roman"/>
          <w:sz w:val="24"/>
        </w:rPr>
        <w:t xml:space="preserve"> pļavas”, Limbažu pagasts, Limbažu novadā ar kadastra numuru 66640090105, kas sastāv no 3 (trīs) zemes vienībām, kur viena zemes vienība (apzīmējums kadastrā 66640090131) ir 5500m2 platībā, otra zemes vienība (apzīmējums kadastrā 66640090141) ir 1,34 ha platībā un trešā zemes vienība (apzīmējums kadastrā 66640090145) ir 2,03 ha platībā</w:t>
      </w:r>
      <w:r w:rsidRPr="00291914">
        <w:rPr>
          <w:rFonts w:ascii="Times New Roman" w:eastAsia="Times New Roman" w:hAnsi="Times New Roman" w:cs="Times New Roman"/>
          <w:sz w:val="24"/>
          <w:szCs w:val="24"/>
        </w:rPr>
        <w:t xml:space="preserve">. </w:t>
      </w:r>
    </w:p>
    <w:p w:rsidR="00F4014A" w:rsidRPr="00291914" w:rsidRDefault="00F4014A" w:rsidP="00F4014A">
      <w:pPr>
        <w:ind w:firstLine="0"/>
        <w:rPr>
          <w:rFonts w:ascii="Times New Roman" w:eastAsia="Times New Roman" w:hAnsi="Times New Roman" w:cs="Times New Roman"/>
          <w:sz w:val="24"/>
          <w:szCs w:val="24"/>
        </w:rPr>
      </w:pPr>
    </w:p>
    <w:p w:rsidR="00F4014A" w:rsidRPr="00172269" w:rsidRDefault="00F4014A" w:rsidP="00F4014A">
      <w:pPr>
        <w:ind w:firstLine="0"/>
        <w:rPr>
          <w:rFonts w:ascii="Times New Roman" w:eastAsia="Times New Roman" w:hAnsi="Times New Roman" w:cs="Times New Roman"/>
          <w:color w:val="FF0000"/>
          <w:sz w:val="24"/>
          <w:szCs w:val="24"/>
        </w:rPr>
      </w:pPr>
      <w:r w:rsidRPr="00291914">
        <w:rPr>
          <w:rFonts w:ascii="Times New Roman" w:eastAsia="Times New Roman" w:hAnsi="Times New Roman" w:cs="Times New Roman"/>
          <w:sz w:val="24"/>
          <w:szCs w:val="24"/>
        </w:rPr>
        <w:t xml:space="preserve">Izsolāmā objekta nosacītā cena (izsoles sākumcena) </w:t>
      </w:r>
      <w:r w:rsidR="00172269" w:rsidRPr="00172269">
        <w:rPr>
          <w:rFonts w:ascii="Times New Roman" w:hAnsi="Times New Roman" w:cs="Times New Roman"/>
          <w:sz w:val="24"/>
          <w:szCs w:val="24"/>
        </w:rPr>
        <w:t>8100.00 EUR (astoņi tūkstoši viens simts eiro).</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291914"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2017</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F4014A" w:rsidRPr="00F4014A" w:rsidRDefault="0031757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B33B86">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E21F85" w:rsidRPr="00E21F85">
        <w:rPr>
          <w:rFonts w:ascii="Times New Roman" w:eastAsia="Times New Roman" w:hAnsi="Times New Roman" w:cs="Times New Roman"/>
          <w:sz w:val="24"/>
          <w:szCs w:val="24"/>
        </w:rPr>
        <w:t>“</w:t>
      </w:r>
      <w:proofErr w:type="spellStart"/>
      <w:r w:rsidR="00026A36" w:rsidRPr="00026A36">
        <w:rPr>
          <w:rFonts w:ascii="Times New Roman" w:eastAsia="Times New Roman" w:hAnsi="Times New Roman" w:cs="Times New Roman"/>
          <w:sz w:val="24"/>
          <w:szCs w:val="24"/>
        </w:rPr>
        <w:t>Tīrlauku</w:t>
      </w:r>
      <w:proofErr w:type="spellEnd"/>
      <w:r w:rsidR="00026A36" w:rsidRPr="00026A36">
        <w:rPr>
          <w:rFonts w:ascii="Times New Roman" w:eastAsia="Times New Roman" w:hAnsi="Times New Roman" w:cs="Times New Roman"/>
          <w:sz w:val="24"/>
          <w:szCs w:val="24"/>
        </w:rPr>
        <w:t xml:space="preserve"> pļavas</w:t>
      </w:r>
      <w:r w:rsidR="00E21F85" w:rsidRPr="00E21F85">
        <w:rPr>
          <w:rFonts w:ascii="Times New Roman" w:eastAsia="Times New Roman" w:hAnsi="Times New Roman" w:cs="Times New Roman"/>
          <w:sz w:val="24"/>
          <w:szCs w:val="24"/>
        </w:rPr>
        <w:t>”, Limbažu pagasts</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B33B86">
        <w:rPr>
          <w:rFonts w:ascii="Times New Roman" w:eastAsia="Times New Roman" w:hAnsi="Times New Roman" w:cs="Times New Roman"/>
          <w:caps/>
          <w:sz w:val="24"/>
        </w:rPr>
        <w:t>2017</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026A36" w:rsidRPr="00026A36">
        <w:rPr>
          <w:rFonts w:ascii="Times New Roman" w:eastAsia="Calibri" w:hAnsi="Times New Roman" w:cs="Times New Roman"/>
          <w:sz w:val="24"/>
        </w:rPr>
        <w:t>“</w:t>
      </w:r>
      <w:proofErr w:type="spellStart"/>
      <w:r w:rsidR="00026A36" w:rsidRPr="00026A36">
        <w:rPr>
          <w:rFonts w:ascii="Times New Roman" w:eastAsia="Calibri" w:hAnsi="Times New Roman" w:cs="Times New Roman"/>
          <w:sz w:val="24"/>
        </w:rPr>
        <w:t>Tīrlauku</w:t>
      </w:r>
      <w:proofErr w:type="spellEnd"/>
      <w:r w:rsidR="00026A36" w:rsidRPr="00026A36">
        <w:rPr>
          <w:rFonts w:ascii="Times New Roman" w:eastAsia="Calibri" w:hAnsi="Times New Roman" w:cs="Times New Roman"/>
          <w:sz w:val="24"/>
        </w:rPr>
        <w:t xml:space="preserve"> pļavas”, Limbažu pagasts, Limbažu novadā ar kadastra numuru 66640090105, kas sastāv no 3 (trīs) zemes vienībām, kur viena zemes vienība (apzīmējums kadastrā 66640090131) ir 5500m</w:t>
      </w:r>
      <w:r w:rsidR="00026A36" w:rsidRPr="00026A36">
        <w:rPr>
          <w:rFonts w:ascii="Times New Roman" w:eastAsia="Calibri" w:hAnsi="Times New Roman" w:cs="Times New Roman"/>
          <w:sz w:val="24"/>
          <w:vertAlign w:val="superscript"/>
        </w:rPr>
        <w:t>2</w:t>
      </w:r>
      <w:r w:rsidR="00026A36" w:rsidRPr="00026A36">
        <w:rPr>
          <w:rFonts w:ascii="Times New Roman" w:eastAsia="Calibri" w:hAnsi="Times New Roman" w:cs="Times New Roman"/>
          <w:sz w:val="24"/>
        </w:rPr>
        <w:t xml:space="preserve"> platībā, otra zemes vienība (apzīmējums kadastrā 66640090141) ir 1,34 ha platībā un trešā zemes vienība (apzīmējums kadastrā 66640090145) ir 2,03 ha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lastRenderedPageBreak/>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317571">
      <w:pPr>
        <w:ind w:firstLine="0"/>
        <w:rPr>
          <w:rFonts w:ascii="Times New Roman" w:hAnsi="Times New Roman" w:cs="Times New Roman"/>
          <w:sz w:val="24"/>
          <w:szCs w:val="24"/>
        </w:rPr>
      </w:pPr>
      <w:bookmarkStart w:id="0" w:name="_GoBack"/>
      <w:bookmarkEnd w:id="0"/>
    </w:p>
    <w:sectPr w:rsidR="00F06615" w:rsidRPr="00D718BF" w:rsidSect="0031757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B02" w:rsidRDefault="00815B02" w:rsidP="00D11705">
      <w:r>
        <w:separator/>
      </w:r>
    </w:p>
  </w:endnote>
  <w:endnote w:type="continuationSeparator" w:id="0">
    <w:p w:rsidR="00815B02" w:rsidRDefault="00815B02"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B02" w:rsidRDefault="00815B02" w:rsidP="00D11705">
      <w:r>
        <w:separator/>
      </w:r>
    </w:p>
  </w:footnote>
  <w:footnote w:type="continuationSeparator" w:id="0">
    <w:p w:rsidR="00815B02" w:rsidRDefault="00815B02"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317571">
          <w:rPr>
            <w:rFonts w:ascii="Times New Roman" w:hAnsi="Times New Roman" w:cs="Times New Roman"/>
            <w:noProof/>
            <w:sz w:val="24"/>
            <w:szCs w:val="24"/>
          </w:rPr>
          <w:t>5</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1B1E6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7"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
  </w:num>
  <w:num w:numId="3">
    <w:abstractNumId w:val="3"/>
  </w:num>
  <w:num w:numId="4">
    <w:abstractNumId w:val="9"/>
  </w:num>
  <w:num w:numId="5">
    <w:abstractNumId w:val="5"/>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A174E"/>
    <w:rsid w:val="000C5982"/>
    <w:rsid w:val="00115013"/>
    <w:rsid w:val="0014798A"/>
    <w:rsid w:val="0015761A"/>
    <w:rsid w:val="00172269"/>
    <w:rsid w:val="00200474"/>
    <w:rsid w:val="00237B9C"/>
    <w:rsid w:val="00291914"/>
    <w:rsid w:val="002D681D"/>
    <w:rsid w:val="002D783A"/>
    <w:rsid w:val="002E2C3A"/>
    <w:rsid w:val="002F62FB"/>
    <w:rsid w:val="00317571"/>
    <w:rsid w:val="00321075"/>
    <w:rsid w:val="00335EF5"/>
    <w:rsid w:val="00337C5E"/>
    <w:rsid w:val="003454CD"/>
    <w:rsid w:val="003505B4"/>
    <w:rsid w:val="00423A12"/>
    <w:rsid w:val="00471A98"/>
    <w:rsid w:val="0048492C"/>
    <w:rsid w:val="00563FEB"/>
    <w:rsid w:val="00575922"/>
    <w:rsid w:val="005D1EF9"/>
    <w:rsid w:val="00603BDF"/>
    <w:rsid w:val="00640AA5"/>
    <w:rsid w:val="0065332B"/>
    <w:rsid w:val="00675A88"/>
    <w:rsid w:val="00682FD9"/>
    <w:rsid w:val="00697453"/>
    <w:rsid w:val="006B6E8F"/>
    <w:rsid w:val="00740509"/>
    <w:rsid w:val="0075755A"/>
    <w:rsid w:val="007E06B8"/>
    <w:rsid w:val="00815B02"/>
    <w:rsid w:val="008173D3"/>
    <w:rsid w:val="0083032E"/>
    <w:rsid w:val="00853B09"/>
    <w:rsid w:val="008676CA"/>
    <w:rsid w:val="008D56DC"/>
    <w:rsid w:val="009025DE"/>
    <w:rsid w:val="009A0B44"/>
    <w:rsid w:val="009C1D35"/>
    <w:rsid w:val="009D1C21"/>
    <w:rsid w:val="00A4245A"/>
    <w:rsid w:val="00A4543C"/>
    <w:rsid w:val="00A51AE4"/>
    <w:rsid w:val="00A53B9E"/>
    <w:rsid w:val="00A95403"/>
    <w:rsid w:val="00AA0C5F"/>
    <w:rsid w:val="00B33B86"/>
    <w:rsid w:val="00B60424"/>
    <w:rsid w:val="00B868F4"/>
    <w:rsid w:val="00C33946"/>
    <w:rsid w:val="00C85C25"/>
    <w:rsid w:val="00CE3B78"/>
    <w:rsid w:val="00CE7147"/>
    <w:rsid w:val="00D11705"/>
    <w:rsid w:val="00D44D90"/>
    <w:rsid w:val="00D718BF"/>
    <w:rsid w:val="00D76F1E"/>
    <w:rsid w:val="00DE3C0D"/>
    <w:rsid w:val="00DF0D3F"/>
    <w:rsid w:val="00E21F85"/>
    <w:rsid w:val="00E75316"/>
    <w:rsid w:val="00E77B67"/>
    <w:rsid w:val="00EE450B"/>
    <w:rsid w:val="00F06615"/>
    <w:rsid w:val="00F12795"/>
    <w:rsid w:val="00F1472C"/>
    <w:rsid w:val="00F4014A"/>
    <w:rsid w:val="00FA0056"/>
    <w:rsid w:val="00FA6C32"/>
    <w:rsid w:val="00FB6DF1"/>
    <w:rsid w:val="00FC41E6"/>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13009</Words>
  <Characters>7416</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cp:revision>
  <cp:lastPrinted>2017-10-30T07:43:00Z</cp:lastPrinted>
  <dcterms:created xsi:type="dcterms:W3CDTF">2017-09-25T07:41:00Z</dcterms:created>
  <dcterms:modified xsi:type="dcterms:W3CDTF">2017-10-30T07:43:00Z</dcterms:modified>
</cp:coreProperties>
</file>